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100" w:line="360"/>
        <w:ind w:firstLine="0"/>
        <w:jc w:val="center"/>
      </w:pPr>
      <w:r>
        <w:rPr>
          <w:rFonts w:ascii="Times New Roman" w:cs="Times New Roman" w:eastAsia="Times New Roman" w:hAnsi="Times New Roman"/>
          <w:b/>
          <w:bCs/>
          <w:i w:val="false"/>
          <w:iCs w:val="false"/>
          <w:sz w:val="24"/>
          <w:szCs w:val="24"/>
        </w:rPr>
        <w:t xml:space="preserve">CENTRO UNIVERSITÁRIO DE EXCELÊNCIA – UNEX</w:t>
      </w:r>
    </w:p>
    <w:p>
      <w:pPr>
        <w:spacing w:after="180" w:before="0" w:line="360"/>
        <w:ind w:firstLine="0"/>
        <w:jc w:val="center"/>
      </w:pPr>
      <w:r>
        <w:rPr>
          <w:rFonts w:ascii="Times New Roman" w:cs="Times New Roman" w:eastAsia="Times New Roman" w:hAnsi="Times New Roman"/>
          <w:b/>
          <w:bCs/>
          <w:i w:val="false"/>
          <w:iCs w:val="false"/>
          <w:sz w:val="24"/>
          <w:szCs w:val="24"/>
        </w:rPr>
        <w:t xml:space="preserve">DEPARTAMENTO DE MEDICINA – EXTENSÃO CURRICULARIZADA</w:t>
      </w:r>
    </w:p>
    <w:p>
      <w:pPr>
        <w:spacing w:after="40" w:before="0" w:line="360"/>
        <w:ind w:firstLine="0"/>
        <w:jc w:val="center"/>
      </w:pPr>
      <w:r>
        <w:rPr>
          <w:rFonts w:ascii="Times New Roman" w:cs="Times New Roman" w:eastAsia="Times New Roman" w:hAnsi="Times New Roman"/>
          <w:b/>
          <w:bCs/>
          <w:i w:val="false"/>
          <w:iCs w:val="false"/>
          <w:sz w:val="26"/>
          <w:szCs w:val="26"/>
        </w:rPr>
        <w:t xml:space="preserve">PROGRAMAÇÃO SEMESTRAL DAS ATIVIDADES DISCENTES</w:t>
      </w:r>
    </w:p>
    <w:p>
      <w:pPr>
        <w:spacing w:after="40" w:before="0" w:line="360"/>
        <w:ind w:firstLine="0"/>
        <w:jc w:val="center"/>
      </w:pPr>
      <w:r>
        <w:rPr>
          <w:rFonts w:ascii="Times New Roman" w:cs="Times New Roman" w:eastAsia="Times New Roman" w:hAnsi="Times New Roman"/>
          <w:b/>
          <w:bCs/>
          <w:i w:val="false"/>
          <w:iCs w:val="false"/>
          <w:sz w:val="24"/>
          <w:szCs w:val="24"/>
        </w:rPr>
        <w:t xml:space="preserve">CICLO 1 – 6º PERÍODO – SEMESTRE 2026.2</w:t>
      </w:r>
    </w:p>
    <w:p>
      <w:pPr>
        <w:spacing w:after="200" w:before="0" w:line="360"/>
        <w:ind w:firstLine="0"/>
        <w:jc w:val="center"/>
      </w:pPr>
      <w:r>
        <w:rPr>
          <w:rFonts w:ascii="Times New Roman" w:cs="Times New Roman" w:eastAsia="Times New Roman" w:hAnsi="Times New Roman"/>
          <w:b w:val="false"/>
          <w:bCs w:val="false"/>
          <w:i/>
          <w:iCs/>
          <w:sz w:val="22"/>
          <w:szCs w:val="22"/>
        </w:rPr>
        <w:t xml:space="preserve">Documento oficial de orientação docente</w:t>
      </w:r>
    </w:p>
    <w:p>
      <w:pPr>
        <w:spacing w:after="180" w:before="220" w:line="360"/>
        <w:ind w:firstLine="0"/>
        <w:jc w:val="left"/>
      </w:pPr>
      <w:r>
        <w:rPr>
          <w:rFonts w:ascii="Times New Roman" w:cs="Times New Roman" w:eastAsia="Times New Roman" w:hAnsi="Times New Roman"/>
          <w:b/>
          <w:bCs/>
          <w:i w:val="false"/>
          <w:iCs w:val="false"/>
          <w:sz w:val="24"/>
          <w:szCs w:val="24"/>
        </w:rPr>
        <w:t xml:space="preserve">1 IDENTIFICAÇÃO DA PROGRAMAÇÃO</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2600"/>
        <w:gridCol w:w="6460"/>
      </w:tblGrid>
      <w:tr>
        <w:trPr>
          <w:tblHeader/>
        </w:trPr>
        <w:tc>
          <w:tcPr>
            <w:tcW w:type="dxa" w:w="26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Item</w:t>
            </w:r>
          </w:p>
        </w:tc>
        <w:tc>
          <w:tcPr>
            <w:tcW w:type="dxa" w:w="64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Descrição</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Curso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Medicina</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Turma e regime</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6º período de 2026.2 – Ciclo 1 completo, com as cinco etapas metodológicas e os três encontros de implementação no semestre, com adscrição de território</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Semestre letivo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2026.2 – de 27/07/2026 a 12/12/2026</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Componentes com carga extensionista</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Metodologia da Pesquisa II (MED233, 60 h), Clínica Médica II (MED340, 10 h), Saúde da Criança II (MED341, 10 h) e Saúde da Mulher II (MED342, 8 h)</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Carga horária extensionista</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88 horas</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Metodologia estruturante</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Design Thinking (etapas de empatia, definição, ideação e prototipagem) com transição ao Arco de Maguerez na implementação (Manual, itens 2.4 a 2.4.3)</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Instrumentos avaliativos da fase</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Diário de Bordo (20 pontos), Relato de Experiência (25 pontos) e Apresentação das Vivências (5 pontos), conforme a segunda fase dos ciclos (Manual, seção 3.2); baremas nos Quadros 21, 26 e 30 do Manual</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Organização do campo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Subgrupos de até doze discentes, com agenda de campo pactuada por subgrupo em turnos sem atividade letiva ou em sábados letivos, dentro da semana prevista, conforme as possibilidades da unidade de investigação e a disponibilidade discente. As atividades que não exigem presença física ocorrem por consulta a bases públicas, contato telefônico institucional ou videochamada com a equipe, de modo que o plano seja executável com até três idas presenciais ao território</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Requisitos mínimos do ciclo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Mapeamento de três ou mais problemas de saúde; dois determinantes sociais; duas técnicas de coleta; cinco ou mais entrevistas; uma reunião comunitária; ação educativa implementada em três ou mais encontros, com alcance mínimo de quinze pessoas; questionário de satisfação simples; relatório com lições aprendidas (Manual, itens 2.4.2 e 2.4.3)</w:t>
            </w:r>
          </w:p>
        </w:tc>
      </w:tr>
      <w:tr>
        <w:tc>
          <w:tcPr>
            <w:tcW w:type="dxa" w:w="260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ODS prioritários do ciclo</w:t>
            </w:r>
          </w:p>
        </w:tc>
        <w:tc>
          <w:tcPr>
            <w:tcW w:type="dxa" w:w="64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ODS 3 (Saúde e Bem-Estar), ODS 4 (Educação de Qualidade), ODS 6 (Água Potável e Saneamento) e ODS 10 (Redução das Desigualdades)</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Manual da Extensão Curricularizada UNEX-MED (2026.1).</w:t>
      </w:r>
    </w:p>
    <w:p>
      <w:pPr>
        <w:spacing w:after="180" w:before="220" w:line="360"/>
        <w:ind w:firstLine="0"/>
        <w:jc w:val="left"/>
      </w:pPr>
      <w:r>
        <w:rPr>
          <w:rFonts w:ascii="Times New Roman" w:cs="Times New Roman" w:eastAsia="Times New Roman" w:hAnsi="Times New Roman"/>
          <w:b/>
          <w:bCs/>
          <w:i w:val="false"/>
          <w:iCs w:val="false"/>
          <w:sz w:val="24"/>
          <w:szCs w:val="24"/>
        </w:rPr>
        <w:t xml:space="preserve">2 CRONOGRAMA DAS ATIVIDADES POR SEMANA</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1 apresenta a linha do tempo do semestre. A coluna de carga horária indica os valores semanais, somando 88 h de carga extensionista; a carga da semana de campo acompanha a data pactuada pelo subgrupo, preservado o total. As datas de campo são pactuadas por subgrupo, registradas na anuência da unidade e no Pro-Extend.</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1 – Cronograma das atividades discentes do Ciclo 1 (6º período, 2026.2)</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560"/>
        <w:gridCol w:w="1140"/>
        <w:gridCol w:w="1560"/>
        <w:gridCol w:w="620"/>
        <w:gridCol w:w="520"/>
        <w:gridCol w:w="4660"/>
      </w:tblGrid>
      <w:tr>
        <w:trPr>
          <w:tblHeader/>
        </w:trPr>
        <w:tc>
          <w:tcPr>
            <w:tcW w:type="dxa" w:w="5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Sem.</w:t>
            </w:r>
          </w:p>
        </w:tc>
        <w:tc>
          <w:tcPr>
            <w:tcW w:type="dxa" w:w="114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Período</w:t>
            </w:r>
          </w:p>
        </w:tc>
        <w:tc>
          <w:tcPr>
            <w:tcW w:type="dxa" w:w="15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Etapa metodológica</w:t>
            </w:r>
          </w:p>
        </w:tc>
        <w:tc>
          <w:tcPr>
            <w:tcW w:type="dxa" w:w="62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Mod.</w:t>
            </w:r>
          </w:p>
        </w:tc>
        <w:tc>
          <w:tcPr>
            <w:tcW w:type="dxa" w:w="52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CH</w:t>
            </w:r>
          </w:p>
        </w:tc>
        <w:tc>
          <w:tcPr>
            <w:tcW w:type="dxa" w:w="46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Atividades discentes</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27/07–02/08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Abertura do ciclo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Aula inaugural e nivelamento metodológico: observação participante, entrevista, diário de campo, método do ciclo e avaliação da fase; constituição dos subgrupos; assinatura do Termo de Compromisso; cadastro do projeto e dos subgrupos no Pro-Extend, quando disponível.</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2</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03/08–09/08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preparo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Estudo dirigido de territorialização e escuta qualificada, com base no material de apoio institucional e em oficina docente, quando houver; caracterização documental do território por consulta a bases públicas (IBGE Cidades, DATASUS, e-SUS e painéis da secretaria municipal); construção dos instrumentos de campo (roteiro de observação, diário de campo e mapa de atores); distribuição de papéis.</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3</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10/08–16/08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preparo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Finalização dos instrumentos; pactuação da agenda semestral de campo do subgrupo por telefone ou mensagem institucional com a unidade; conferência da anuência e das autorizações.</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4</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17/08–23/08</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imersão</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Ida 1 ao território, em turno completo, na data pactuada pelo subgrupo: observação participante e entrevistas com usuários, lideranças e trabalhadores presentes; abertura do Diário de Bordo.</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5</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24/08–30/08</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serviço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Entrevistas com trabalhadores de saúde por telefone institucional ou videochamada, quando não realizadas na inserção; sistematização, transcrições, mapa de atores e registro reflexivo.</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6</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31/08–06/09</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Empatia / Definição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Análise preliminar dos problemas de saúde observados e dos determinantes sociais associados. Menor intensidade presencial (Teste de Progresso em 03/09).</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7</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07/09–13/09</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Definição – validação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Escuta complementar por telefone institucional, com apoio dos agentes comunitários de saúde, ou presencial quando houver turno disponível; validação inicial dos problemas. Sem atividade no feriado de 07/09.</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8</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14/09–20/09</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Definição / Ideação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Construção da Árvore de Problemas (causas, tronco e consequências); priorização com leitura pelos ODS 3, 4, 6 e 10; início paralelo da busca de evidências e esboço do protótipo educativo.</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9</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21/09–27/09</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Prototipagem – validação</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Validação do problema e do protótipo em reunião já existente da unidade ou do conselho local, na Semana da Responsabilidade Social, presencial ou por videochamada; delimitação do público-alvo; pactuação das datas dos três encontros.</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10</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28/09–04/10</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Propostas de intervenção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Dias úteis em regime autônomo (VAT1 em 02/10): construção das propostas de intervenção, com objetivos, indicadores simples, cronograma e relação de materiais. Semana disponível como reserva para reposição de campo.</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11</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05/10–11/10</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1</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Produção dos materiais educativos com revisão técnica docente; instrumentos de registro (lista de presença e questionário de satisfação); encontro 1 realizado nesta semana, na data pactuada pelo subgrupo.</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12</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12/10–18/10</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simulação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Ação educativa simulada entre os integrantes do subgrupo; ajustes de conteúdo e logística. Sem atividade no feriado de 12/10.</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13</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19/10–25/10</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1</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Dias úteis em regime autônomo (OSCE de 19 a 23/10); encontro 1 realizado nesta semana, na data e no turno pactuados pelo subgrupo, com registro de presença.</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14</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26/10–01/11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2</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Ajustes da ação a partir das reações do público; abertura do Relato de Experiência (introdução, diagnóstico, mapa de atores e árvore de problemas); encontro 2 em formato apoiado, com material entregue pela equipe e interação por canal institucional, ou presencial quando houver turno disponível.</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15</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02/11–08/11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Relato – metodologia</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Redação da metodologia do Relato (descrição da árvore, da intervenção educativa, dos recursos e dos aspectos éticos); preparação do encontro seguinte. Sem atividade no feriado de 02/11.</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16</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09/11–15/11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 encontro 2</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Encontro 2 em formato apoiado, com material entregue pela equipe e interação por canal institucional, ou presencial nesta semana quando houver turno disponível; dias úteis em regime autônomo (APA em 13/11).</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17</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16/11–22/11</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Sistematização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Sistematização dos encontros realizados; convite ativo aos participantes para o encerramento, com apoio de agentes comunitários e lideranças. Sem atividade no feriado de 20/11.</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18</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23/11–29/11</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Relato – encontro 3</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Encontro 3 nesta semana, na data pactuada pelo subgrupo, com questionário de satisfação, encerramento e devolutiva; redação dos resultados, da discussão e da análise do processo; versão preliminar do Relato até 27/11.</w:t>
            </w:r>
          </w:p>
        </w:tc>
      </w:tr>
      <w:tr>
        <w:tc>
          <w:tcPr>
            <w:tcW w:type="dxa" w:w="56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19</w:t>
            </w:r>
          </w:p>
        </w:tc>
        <w:tc>
          <w:tcPr>
            <w:tcW w:type="dxa" w:w="114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30/11–06/12</w:t>
            </w:r>
          </w:p>
        </w:tc>
        <w:tc>
          <w:tcPr>
            <w:tcW w:type="dxa" w:w="15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Avaliação – encontro 3</w:t>
            </w:r>
          </w:p>
        </w:tc>
        <w:tc>
          <w:tcPr>
            <w:tcW w:type="dxa" w:w="6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IASC</w:t>
            </w:r>
          </w:p>
        </w:tc>
        <w:tc>
          <w:tcPr>
            <w:tcW w:type="dxa" w:w="520"/>
            <w:shd w:fill="E2EFDA"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h</w:t>
            </w:r>
          </w:p>
        </w:tc>
        <w:tc>
          <w:tcPr>
            <w:tcW w:type="dxa" w:w="4660"/>
            <w:shd w:fill="E2EFDA"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Encontro 3 realizado nesta semana, na data e no turno pactuados pelo subgrupo, com encerramento, questionário de satisfação e devolutiva à comunidade e à equipe; dias úteis autônomos (VAT2 em 04/12).</w:t>
            </w:r>
          </w:p>
        </w:tc>
      </w:tr>
      <w:tr>
        <w:tc>
          <w:tcPr>
            <w:tcW w:type="dxa" w:w="56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20</w:t>
            </w:r>
          </w:p>
        </w:tc>
        <w:tc>
          <w:tcPr>
            <w:tcW w:type="dxa" w:w="114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07/12–12/12</w:t>
            </w:r>
          </w:p>
        </w:tc>
        <w:tc>
          <w:tcPr>
            <w:tcW w:type="dxa" w:w="15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Entrega e apresentação</w:t>
            </w:r>
          </w:p>
        </w:tc>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IPA</w:t>
            </w:r>
          </w:p>
        </w:tc>
        <w:tc>
          <w:tcPr>
            <w:tcW w:type="dxa" w:w="5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h</w:t>
            </w:r>
          </w:p>
        </w:tc>
        <w:tc>
          <w:tcPr>
            <w:tcW w:type="dxa" w:w="46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Consolidação da mensuração preliminar de impacto e do alcance acumulado; submissão final do Diário e do Relato até 08/12; Apresentação das Vivências em 09/12; licença de uso dos materiais educativos e regularização documental, com inserção no Pro-Extend quando disponível; término em 12/12.</w:t>
            </w:r>
          </w:p>
        </w:tc>
      </w:tr>
      <w:tr>
        <w:tc>
          <w:tcPr>
            <w:tcW w:type="dxa" w:w="3880"/>
            <w:shd w:fill="F2F2F2"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Total</w:t>
            </w:r>
          </w:p>
        </w:tc>
        <w:tc>
          <w:tcPr>
            <w:tcW w:type="dxa" w:w="520"/>
            <w:shd w:fill="F2F2F2"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8"/>
                <w:szCs w:val="18"/>
              </w:rPr>
              <w:t xml:space="preserve">88 h</w:t>
            </w:r>
          </w:p>
        </w:tc>
        <w:tc>
          <w:tcPr>
            <w:tcW w:type="dxa" w:w="4660"/>
            <w:shd w:fill="F2F2F2" w:color="auto" w:val="clear"/>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8"/>
                <w:szCs w:val="18"/>
              </w:rPr>
              <w:t xml:space="preserve">Carga horária extensionista do semestre, registrada individualmente na Ficha de Frequência</w:t>
            </w:r>
          </w:p>
        </w:tc>
      </w:tr>
    </w:tbl>
    <w:p>
      <w:pPr>
        <w:spacing w:after="160" w:before="40" w:line="300"/>
        <w:ind w:firstLine="0"/>
        <w:jc w:val="both"/>
      </w:pPr>
      <w:r>
        <w:rPr>
          <w:rFonts w:ascii="Times New Roman" w:cs="Times New Roman" w:eastAsia="Times New Roman" w:hAnsi="Times New Roman"/>
          <w:b/>
          <w:bCs/>
          <w:i w:val="false"/>
          <w:iCs w:val="false"/>
          <w:sz w:val="20"/>
          <w:szCs w:val="20"/>
        </w:rPr>
        <w:t xml:space="preserve">Nota: </w:t>
      </w:r>
      <w:r>
        <w:rPr>
          <w:rFonts w:ascii="Times New Roman" w:cs="Times New Roman" w:eastAsia="Times New Roman" w:hAnsi="Times New Roman"/>
          <w:b w:val="false"/>
          <w:bCs w:val="false"/>
          <w:i w:val="false"/>
          <w:iCs w:val="false"/>
          <w:sz w:val="20"/>
          <w:szCs w:val="20"/>
        </w:rPr>
        <w:t xml:space="preserve">IPA indica interação professor–aluno, em ambiente institucional; IASC, interação aluno–serviço–comunidade, no território; IAA, interação aluno–aluno, em produção autônoma do subgrupo. O plano é executável com três idas presenciais ao território: a imersão diagnóstica da semana 4, o encontro 1, na semana 11 ou 13, e o encontro 3, na semana 18 ou 19. Cada ida ocorre em qualquer dia da semana indicada, em turno sem atividade letiva ou em sábado letivo, conforme a pactuação do subgrupo com a unidade. Os três encontros da ação educativa permanecem obrigatórios; o encontro 2 ocorre em formato apoiado, com material entregue pela equipe e interação por canal institucional, e torna-se presencial quando houver turno disponível. A escuta complementar da semana 7 e a validação da semana 9 seguem a mesma lógica, por contato remoto ou em reunião já existente. Este cronograma é uma base de referência. O docente responsável pode ajustá-lo conforme a disponibilidade da unidade de investigação, a agenda da turma e as necessidades do território, preservados os requisitos mínimos do ciclo e os prazos institucionais de entrega.</w:t>
      </w:r>
    </w:p>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Calendário Acadêmico UNEX-MED 2026.2 (versão final de 13/07/2026) e no Manual da Extensão Curricularizada.</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Os cadastros e registros indicados nesta programação são efetuados na plataforma Pro-Extend a partir do momento em que estiver disponível. Enquanto não houver acesso, o registro é feito de forma documental, com os modelos do Caderno de Instrumentos Legais e Operacionais, e inserido na plataforma quando liberada.</w:t>
      </w:r>
    </w:p>
    <w:p>
      <w:pPr>
        <w:spacing w:after="180" w:before="220" w:line="360"/>
        <w:ind w:firstLine="0"/>
        <w:jc w:val="left"/>
      </w:pPr>
      <w:r>
        <w:rPr>
          <w:rFonts w:ascii="Times New Roman" w:cs="Times New Roman" w:eastAsia="Times New Roman" w:hAnsi="Times New Roman"/>
          <w:b/>
          <w:bCs/>
          <w:i w:val="false"/>
          <w:iCs w:val="false"/>
          <w:sz w:val="24"/>
          <w:szCs w:val="24"/>
        </w:rPr>
        <w:t xml:space="preserve">3 DISTRIBUIÇÃO DA CARGA HORÁRIA POR COMPONENTE</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2 apresenta o rateio da carga horária extensionista entre os componentes vinculados. O registro individual é feito na Ficha de Frequência e validado pelo docente responsável.</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2 – Rateio da carga horária extensionista (6º período)</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3000"/>
        <w:gridCol w:w="1000"/>
        <w:gridCol w:w="5060"/>
      </w:tblGrid>
      <w:tr>
        <w:trPr>
          <w:tblHeader/>
        </w:trPr>
        <w:tc>
          <w:tcPr>
            <w:tcW w:type="dxa" w:w="30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Componente curricular</w:t>
            </w:r>
          </w:p>
        </w:tc>
        <w:tc>
          <w:tcPr>
            <w:tcW w:type="dxa" w:w="10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CH ext.</w:t>
            </w:r>
          </w:p>
        </w:tc>
        <w:tc>
          <w:tcPr>
            <w:tcW w:type="dxa" w:w="50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Núcleo de vinculação das atividades</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Metodologia da Pesquisa II (MED233)</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60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Instrumentos de coleta, sistematização das evidências, análise do processo e redação do Relato de Experiência</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Clínica Médica II (MED340)</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Fundamentação clínica dos temas da ação educativa</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Saúde da Criança II (MED341)</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10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Temas de saúde da criança, quando pertinentes ao problema priorizado</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Saúde da Mulher II (MED342)</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8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9"/>
                <w:szCs w:val="19"/>
              </w:rPr>
              <w:t xml:space="preserve">Temas de saúde da mulher, quando pertinentes ao problema priorizado</w:t>
            </w:r>
          </w:p>
        </w:tc>
      </w:tr>
      <w:tr>
        <w:tc>
          <w:tcPr>
            <w:tcW w:type="dxa" w:w="30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Total</w:t>
            </w:r>
          </w:p>
        </w:tc>
        <w:tc>
          <w:tcPr>
            <w:tcW w:type="dxa" w:w="10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88 h</w:t>
            </w:r>
          </w:p>
        </w:tc>
        <w:tc>
          <w:tcPr>
            <w:tcW w:type="dxa" w:w="50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bCs/>
                <w:i w:val="false"/>
                <w:iCs w:val="false"/>
                <w:sz w:val="19"/>
                <w:szCs w:val="19"/>
              </w:rPr>
              <w:t xml:space="preserve">Registro individual na Ficha de Frequência e validação final pelo docente responsável</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na matriz curricular do Manual da Extensão Curricularizada UNEX-MED (2026.1).</w:t>
      </w:r>
    </w:p>
    <w:p>
      <w:pPr>
        <w:spacing w:after="180" w:before="220" w:line="360"/>
        <w:ind w:firstLine="0"/>
        <w:jc w:val="left"/>
      </w:pPr>
      <w:r>
        <w:rPr>
          <w:rFonts w:ascii="Times New Roman" w:cs="Times New Roman" w:eastAsia="Times New Roman" w:hAnsi="Times New Roman"/>
          <w:b/>
          <w:bCs/>
          <w:i w:val="false"/>
          <w:iCs w:val="false"/>
          <w:sz w:val="24"/>
          <w:szCs w:val="24"/>
        </w:rPr>
        <w:t xml:space="preserve">4 CORRESPONDÊNCIA COM A MATRIZ DE COMPLEXIDADE DO CICLO 1</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3 relaciona cada indicador do item 2.4.3 do Manual à evidência documental e às semanas de atendimento.</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3 – Atendimento aos indicadores da matriz de complexidade do Ciclo 1</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1900"/>
        <w:gridCol w:w="2700"/>
        <w:gridCol w:w="2760"/>
        <w:gridCol w:w="1700"/>
      </w:tblGrid>
      <w:tr>
        <w:trPr>
          <w:tblHeader/>
        </w:trPr>
        <w:tc>
          <w:tcPr>
            <w:tcW w:type="dxa" w:w="19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Dimensão</w:t>
            </w:r>
          </w:p>
        </w:tc>
        <w:tc>
          <w:tcPr>
            <w:tcW w:type="dxa" w:w="27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Indicador (item 2.4.3)</w:t>
            </w:r>
          </w:p>
        </w:tc>
        <w:tc>
          <w:tcPr>
            <w:tcW w:type="dxa" w:w="276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Evidência documental</w:t>
            </w:r>
          </w:p>
        </w:tc>
        <w:tc>
          <w:tcPr>
            <w:tcW w:type="dxa" w:w="17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Semanas</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Caracterização da comunidade</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Mapeamento de três ou mais problemas de saúde</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Registros de observação e síntese do Diário de Bordo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a 9</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Caracterização da comunidade</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Identificação de dois determinantes sociais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Seção de determinantes do Diário e árvore de problemas</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5 a 8</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Caracterização da comunidade</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Utilização de duas técnicas de coleta (observação e entrevista)</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Roteiros aplicados, anotações de campo e transcrições</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e 7</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Interlocução comunitária</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Realização de cinco ou mais entrevistas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Transcrições codificadas e mapa de atores; soma conferida ao final da definição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4, 5 e 7</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Interlocução comunitária</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Participação em uma reunião comunitária</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Registro da reunião da Semana da Responsabilidade Social</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9</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Interlocução comunitária</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Registro reflexivo da interação</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Reflexões individuais e coletivas do Diário de Bordo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Contínuo, com marcos nas semanas 5, 14 e 17</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Intervenção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Implementação de uma ação educativa, previamente planejada, com apoio docente</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Proposta de intervenção, materiais revisados e registros dos três encontros</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11 a 19, nos encontros pactuados</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Intervenção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Alcance mínimo de quinze pessoas e registro da atividade</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Listas de presença acumuladas e documentação autorizada</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11 a 19</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Avaliação de impacto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Aplicação de questionário de satisfação simples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Instrumentos preenchidos no encerramento da ação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18 ou 19 (encontro 3)</w:t>
            </w:r>
          </w:p>
        </w:tc>
      </w:tr>
      <w:tr>
        <w:tc>
          <w:tcPr>
            <w:tcW w:type="dxa" w:w="19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Avaliação de impacto</w:t>
            </w:r>
          </w:p>
        </w:tc>
        <w:tc>
          <w:tcPr>
            <w:tcW w:type="dxa" w:w="270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Relatório com lições aprendidas</w:t>
            </w:r>
          </w:p>
        </w:tc>
        <w:tc>
          <w:tcPr>
            <w:tcW w:type="dxa" w:w="2760"/>
            <w:tcMar>
              <w:top w:type="dxa" w:w="45"/>
              <w:left w:type="dxa" w:w="85"/>
              <w:bottom w:type="dxa" w:w="45"/>
              <w:right w:type="dxa" w:w="85"/>
            </w:tcMar>
            <w:vAlign w:val="center"/>
          </w:tcPr>
          <w:p>
            <w:pPr>
              <w:spacing w:after="0" w:before="0" w:line="236"/>
              <w:jc w:val="left"/>
            </w:pPr>
            <w:r>
              <w:rPr>
                <w:rFonts w:ascii="Times New Roman" w:cs="Times New Roman" w:eastAsia="Times New Roman" w:hAnsi="Times New Roman"/>
                <w:b w:val="false"/>
                <w:bCs w:val="false"/>
                <w:i w:val="false"/>
                <w:iCs w:val="false"/>
                <w:sz w:val="18"/>
                <w:szCs w:val="18"/>
              </w:rPr>
              <w:t xml:space="preserve">Relato de Experiência, com análise do processo</w:t>
            </w:r>
          </w:p>
        </w:tc>
        <w:tc>
          <w:tcPr>
            <w:tcW w:type="dxa" w:w="17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8"/>
                <w:szCs w:val="18"/>
              </w:rPr>
              <w:t xml:space="preserve">14 a 20</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Manual da Extensão Curricularizada UNEX-MED (2026.1).</w:t>
      </w:r>
    </w:p>
    <w:p>
      <w:pPr>
        <w:spacing w:after="180" w:before="220" w:line="360"/>
        <w:ind w:firstLine="0"/>
        <w:jc w:val="left"/>
      </w:pPr>
      <w:r>
        <w:rPr>
          <w:rFonts w:ascii="Times New Roman" w:cs="Times New Roman" w:eastAsia="Times New Roman" w:hAnsi="Times New Roman"/>
          <w:b/>
          <w:bCs/>
          <w:i w:val="false"/>
          <w:iCs w:val="false"/>
          <w:sz w:val="24"/>
          <w:szCs w:val="24"/>
        </w:rPr>
        <w:t xml:space="preserve">5 AVALIAÇÃO, ENTREGAS E PRAZOS</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A nota semestral totaliza 50 pontos e é única para os componentes com carga extensionista, lançada conforme o grupo avaliativo do componente (Manual, seção 3.2): nos componentes com duas Verificações de Aprendizagem Prática, corresponde a 50 pontos da VAP 2; nos componentes com uma, a 50 pontos da VAP. A composição segue a segunda fase dos ciclos: Diário de Bordo (20 pontos, barema do Quadro 21 do Manual), Relato de Experiência (25 pontos, estrutura do Quadro 12 e barema do Quadro 26, com mapa de atores e árvore de problemas obrigatórios e materiais educativos como apêndices) e Apresentação das Vivências (5 pontos, elementos do Quadro 16 e barema do Quadro 30). O Plano de Trabalho é absorvido como planejamento interno da proposta de intervenção, documentado na metodologia do Relato.</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Prazos: versão preliminar do Relato até 27/11; encerramento da ação com questionário de satisfação no encontro 3 (semana 18 ou 19, conforme pactuação do subgrupo); submissão final do Diário de Bordo e do Relato de Experiência pelo Blackboard até 08/12; Apresentação das Vivências Extensionistas em 09/12; publicação das médias finais em 10/12.</w:t>
      </w:r>
    </w:p>
    <w:p>
      <w:pPr>
        <w:pageBreakBefore/>
        <w:spacing w:after="180" w:before="220" w:line="360"/>
        <w:ind w:firstLine="0"/>
        <w:jc w:val="left"/>
      </w:pPr>
      <w:r>
        <w:rPr>
          <w:rFonts w:ascii="Times New Roman" w:cs="Times New Roman" w:eastAsia="Times New Roman" w:hAnsi="Times New Roman"/>
          <w:b/>
          <w:bCs/>
          <w:i w:val="false"/>
          <w:iCs w:val="false"/>
          <w:sz w:val="24"/>
          <w:szCs w:val="24"/>
        </w:rPr>
        <w:t xml:space="preserve">6 REDAÇÃO PARA OS PLANOS DE ENSINO</w:t>
      </w:r>
    </w:p>
    <w:p>
      <w:pPr>
        <w:spacing w:after="120" w:before="0" w:line="360"/>
        <w:ind w:firstLine="709"/>
        <w:jc w:val="both"/>
      </w:pPr>
      <w:r>
        <w:rPr>
          <w:rFonts w:ascii="Times New Roman" w:cs="Times New Roman" w:eastAsia="Times New Roman" w:hAnsi="Times New Roman"/>
          <w:b w:val="false"/>
          <w:bCs w:val="false"/>
          <w:i w:val="false"/>
          <w:iCs w:val="false"/>
          <w:sz w:val="24"/>
          <w:szCs w:val="24"/>
        </w:rPr>
        <w:t xml:space="preserve">O Quadro 4 disponibiliza a redação a ser transcrita no campo de Extensão Curricularizada dos planos de ensino, em forma nominal. As semanas de campo remetem à data pactuada por cada subgrupo. Cada componente transcreve os blocos das semanas em que possui carga extensionista.</w:t>
      </w:r>
    </w:p>
    <w:p>
      <w:pPr>
        <w:spacing w:after="80" w:before="120" w:line="300"/>
        <w:ind w:firstLine="0"/>
        <w:jc w:val="left"/>
      </w:pPr>
      <w:r>
        <w:rPr>
          <w:rFonts w:ascii="Times New Roman" w:cs="Times New Roman" w:eastAsia="Times New Roman" w:hAnsi="Times New Roman"/>
          <w:b/>
          <w:bCs/>
          <w:i w:val="false"/>
          <w:iCs w:val="false"/>
          <w:sz w:val="24"/>
          <w:szCs w:val="24"/>
        </w:rPr>
        <w:t xml:space="preserve">Quadro 4 – Texto proposto para o campo de Extensão Curricularizada dos planos de ensino (6º período)</w:t>
      </w:r>
    </w:p>
    <w:tbl>
      <w:tblPr>
        <w:tblW w:type="dxa" w:w="9060"/>
        <w:tblBorders>
          <w:top w:val="single" w:color="7F7F7F" w:sz="4"/>
          <w:left w:val="single" w:color="7F7F7F" w:sz="4"/>
          <w:bottom w:val="single" w:color="7F7F7F" w:sz="4"/>
          <w:right w:val="single" w:color="7F7F7F" w:sz="4"/>
          <w:insideH w:val="single" w:color="7F7F7F" w:sz="4"/>
          <w:insideV w:val="single" w:color="7F7F7F" w:sz="4"/>
        </w:tblBorders>
      </w:tblPr>
      <w:tblGrid>
        <w:gridCol w:w="620"/>
        <w:gridCol w:w="1400"/>
        <w:gridCol w:w="7040"/>
      </w:tblGrid>
      <w:tr>
        <w:trPr>
          <w:tblHeader/>
        </w:trPr>
        <w:tc>
          <w:tcPr>
            <w:tcW w:type="dxa" w:w="62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Sem.</w:t>
            </w:r>
          </w:p>
        </w:tc>
        <w:tc>
          <w:tcPr>
            <w:tcW w:type="dxa" w:w="140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Período</w:t>
            </w:r>
          </w:p>
        </w:tc>
        <w:tc>
          <w:tcPr>
            <w:tcW w:type="dxa" w:w="7040"/>
            <w:shd w:fill="1F3864" w:color="auto" w:val="clear"/>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color w:val="FFFFFF"/>
                <w:sz w:val="18"/>
                <w:szCs w:val="18"/>
              </w:rPr>
              <w:t xml:space="preserve">Redação proposta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27/07–02/08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Aula inaugural da Extensão Curricularizada: Ciclo 1 completo (Design Thinking articulado ao Arco de Maguerez), sistema avaliativo da fase e organização do campo por subgrupo; nivelamento metodológico em observação participante, entrevista e diário de campo; constituição dos subgrupos de até doze discentes; assinatura do Termo de Compromisso do Discente Extensionista; cadastro do projeto e dos subgrupos na plataforma Pro-Extend, quando disponível.</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2</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03/08–09/08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Estudo dirigido de territorialização e escuta qualificada, com base no material de apoio institucional e em oficina conduzida pelo docente, quando houver; caracterização documental do território por consulta a bases públicas de dados em saúde (IBGE Cidades, DATASUS, e-SUS e painéis da secretaria municipal); construção dos instrumentos de campo (roteiro de observação participante, diário de campo e estrutura do mapa de atores); distribuição de papéis entre os integrantes do subgrupo.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3</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10/08–16/08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Finalização dos instrumentos de coleta; pactuação da agenda semestral de campo do subgrupo, por telefone ou mensagem institucional, com a unidade de investigação e com o espaço comunitário parceiro; conferência do termo de anuência e das autorizações necessárias ao campo.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4</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17/08–23/08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Primeira ida ao território, em turno completo, na data pactuada pelo subgrupo: observação participante e entrevistas com usuários, lideranças e trabalhadores presentes; abertura dos registros no Diário de Bordo.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5</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24/08–30/08</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Entrevistas com trabalhadores de saúde por telefone institucional ou videochamada, quando não realizadas na própria inserção; sistematização das observações, transcrição das entrevistas e atualização do mapa de atores; registro reflexivo.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6</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31/08–06/09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Análise preliminar dos problemas de saúde observados e dos determinantes sociais associados; menor intensidade presencial, em razão do Teste de Progresso (03/09).</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7</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07/09–13/09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Escuta complementar por telefone institucional, com apoio dos agentes comunitários de saúde, ou presencial quando houver turno disponível; validação inicial dos problemas identificados; sem atividade no feriado de 07/09.</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8</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14/09–20/09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Construção da Árvore de Problemas (causas, problema central e consequências); priorização com leitura pelos ODS 3, 4, 6 e 10; início paralelo da busca de evidências científicas e esboço do protótipo de intervenção educativa.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9</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21/09–27/09</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Validação do problema priorizado e do protótipo educativo em reunião já existente da unidade ou do conselho local, em dia útil da Semana da Responsabilidade Social (21 a 26/09), presencial ou por videochamada; delimitação do público-alvo; pactuação das datas dos três encontros da ação.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10</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28/09–04/10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Dias úteis em regime autônomo, em razão da 1ª Verificação de Aprendizagem Teórica (VAT1, em 02/10): construção das propostas de intervenção, com objetivos, indicadores simples, cronograma e relação de materiais; a semana permanece como reserva para reposição de campo.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11</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05/10–11/10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Produção dos materiais educativos com revisão técnica docente; definição dos instrumentos de registro (lista de presença e questionário de satisfação); primeiro encontro da ação educativa realizado nesta semana, na data pactuada pelo subgrupo.</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12</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12/10–18/10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Ação educativa simulada entre os integrantes do subgrupo; ajustes de conteúdo e logística; sem atividade no feriado de 12/10.</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13</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19/10–25/10</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Dias úteis em regime autônomo, em razão do OSCE (19 a 23/10); primeiro encontro da ação educativa realizado nesta semana, na data e no turno pactuados pelo subgrupo, com registro de presença e documentação autorizada.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14</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26/10–01/11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Ajustes da ação a partir das reações do público; abertura da redação do Relato de Experiência (introdução, diagnóstico e ferramentas obrigatórias: mapa de atores e árvore de problemas); segundo encontro da ação em formato apoiado, com material entregue pela equipe e interação por canal institucional, ou presencial quando houver turno disponível.</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15</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02/11–08/11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Redação da metodologia do Relato de Experiência (descrição da árvore de problemas, da intervenção educativa, dos recursos e dos aspectos éticos); preparação do encontro seguinte; sem atividade no feriado de 02/11.</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16</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09/11–15/11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Segundo encontro da ação educativa em formato apoiado, com material entregue pela equipe e interação por canal institucional, ou presencial nesta semana quando houver turno disponível; demais dias em regime autônomo, em razão da Avaliação Progressiva da Aprendizagem (13/11).</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17</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16/11–22/11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Sistematização dos encontros realizados; convite ativo aos participantes para o encerramento, com apoio de agentes comunitários de saúde e lideranças; sem atividade no feriado de 20/11.</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18</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23/11–29/11</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Redação dos resultados (percepção qualitativa e retorno da comunidade), da discussão e da análise do processo; submissão da versão preliminar do Relato até 27/11; terceiro encontro nesta semana, na data pactuada pelo subgrupo, com questionário de satisfação, encerramento e devolutiva.</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19</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30/11–06/12</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Terceiro encontro realizado nesta semana, na data e no turno pactuados pelo subgrupo, com encerramento da ação, questionário de satisfação e devolutiva à comunidade e à equipe; dias úteis em regime autônomo (2ª Verificação de Aprendizagem Teórica – VAT2, em 04/12).</w:t>
            </w:r>
          </w:p>
        </w:tc>
      </w:tr>
      <w:tr>
        <w:tc>
          <w:tcPr>
            <w:tcW w:type="dxa" w:w="62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bCs/>
                <w:i w:val="false"/>
                <w:iCs w:val="false"/>
                <w:sz w:val="19"/>
                <w:szCs w:val="19"/>
              </w:rPr>
              <w:t xml:space="preserve">20</w:t>
            </w:r>
          </w:p>
        </w:tc>
        <w:tc>
          <w:tcPr>
            <w:tcW w:type="dxa" w:w="1400"/>
            <w:tcMar>
              <w:top w:type="dxa" w:w="45"/>
              <w:left w:type="dxa" w:w="85"/>
              <w:bottom w:type="dxa" w:w="45"/>
              <w:right w:type="dxa" w:w="85"/>
            </w:tcMar>
            <w:vAlign w:val="center"/>
          </w:tcPr>
          <w:p>
            <w:pPr>
              <w:spacing w:after="0" w:before="0" w:line="236"/>
              <w:jc w:val="center"/>
            </w:pPr>
            <w:r>
              <w:rPr>
                <w:rFonts w:ascii="Times New Roman" w:cs="Times New Roman" w:eastAsia="Times New Roman" w:hAnsi="Times New Roman"/>
                <w:b w:val="false"/>
                <w:bCs w:val="false"/>
                <w:i w:val="false"/>
                <w:iCs w:val="false"/>
                <w:sz w:val="19"/>
                <w:szCs w:val="19"/>
              </w:rPr>
              <w:t xml:space="preserve">07/12–12/12</w:t>
            </w:r>
          </w:p>
        </w:tc>
        <w:tc>
          <w:tcPr>
            <w:tcW w:type="dxa" w:w="7040"/>
            <w:tcMar>
              <w:top w:type="dxa" w:w="45"/>
              <w:left w:type="dxa" w:w="85"/>
              <w:bottom w:type="dxa" w:w="45"/>
              <w:right w:type="dxa" w:w="85"/>
            </w:tcMar>
            <w:vAlign w:val="center"/>
          </w:tcPr>
          <w:p>
            <w:pPr>
              <w:spacing w:line="250"/>
              <w:jc w:val="both"/>
            </w:pPr>
            <w:r>
              <w:rPr>
                <w:rFonts w:ascii="Times New Roman" w:cs="Times New Roman" w:eastAsia="Times New Roman" w:hAnsi="Times New Roman"/>
                <w:b w:val="false"/>
                <w:bCs w:val="false"/>
                <w:i w:val="false"/>
                <w:iCs w:val="false"/>
                <w:sz w:val="19"/>
                <w:szCs w:val="19"/>
              </w:rPr>
              <w:t xml:space="preserve">Consolidação da mensuração preliminar de impacto e do alcance acumulado; submissão final do Diário de Bordo e do Relato de Experiência até 08/12; Apresentação das Vivências Extensionistas em 09/12; licença de uso dos materiais educativos produzidos e regularização documental, com inserção no Pro-Extend quando disponível; término do semestre em 12/12.</w:t>
            </w:r>
          </w:p>
        </w:tc>
      </w:tr>
    </w:tbl>
    <w:p>
      <w:pPr>
        <w:spacing w:after="200" w:before="60" w:line="240"/>
        <w:ind w:firstLine="0"/>
        <w:jc w:val="left"/>
      </w:pPr>
      <w:r>
        <w:rPr>
          <w:rFonts w:ascii="Times New Roman" w:cs="Times New Roman" w:eastAsia="Times New Roman" w:hAnsi="Times New Roman"/>
          <w:b w:val="false"/>
          <w:bCs w:val="false"/>
          <w:i w:val="false"/>
          <w:iCs w:val="false"/>
          <w:sz w:val="18"/>
          <w:szCs w:val="18"/>
        </w:rPr>
        <w:t xml:space="preserve">Fonte: Os autores (2026), com base no Calendário Acadêmico UNEX-MED 2026.2 (versão final de 13/07/2026) e no Manual da Extensão Curricularizada.</w:t>
      </w:r>
    </w:p>
    <w:sectPr>
      <w:footerReference w:type="default" r:id="rId7"/>
      <w:pgSz w:w="11906" w:h="16838" w:orient="portrait"/>
      <w:pgMar w:top="1701"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Template>Normal.dotm</Template>
  <Pages>7</Pages>
  <Words>2967</Words>
  <Characters>17017</Characters>
  <Application>Microsoft Office Word</Application>
  <DocSecurity>0</DocSecurity>
  <Lines>505</Lines>
  <Paragraphs>353</Paragraphs>
  <ScaleCrop>false</ScaleCrop>
  <Company>Centro Universitário de Excelência – UNEX</Company>
  <LinksUpToDate>false</LinksUpToDate>
  <CharactersWithSpaces>31357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Programação Semestral das Atividades Discentes – 6º Período – 2026.2</dc:title>
  <dc:subject>Extensão Curricularizada – programação semestral 2026.2</dc:subject>
  <dc:creator>Grupo de Trabalho da Extensão Curricularizada – Rede UNEX-MED</dc:creator>
  <cp:keywords>extensão curricularizada; medicina; 2026.2</cp:keywords>
  <cp:lastModifiedBy>Departamento de Medicina – UNEX</cp:lastModifiedBy>
  <cp:revision>7</cp:revision>
  <dcterms:created xsi:type="dcterms:W3CDTF">2026-07-20T09:15:00Z</dcterms:created>
  <dcterms:modified xsi:type="dcterms:W3CDTF">2026-08-03T22:10:00Z</dcterms:modified>
  <cp:category>Documento institucional</cp:category>
</cp:coreProperties>
</file>